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AE49C" w14:textId="492BA651" w:rsidR="002B298B" w:rsidRPr="002B298B" w:rsidRDefault="002B298B" w:rsidP="003C56D9">
      <w:pPr>
        <w:tabs>
          <w:tab w:val="center" w:pos="4536"/>
          <w:tab w:val="right" w:pos="962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2B298B">
        <w:rPr>
          <w:rFonts w:ascii="Arial" w:eastAsia="Batang" w:hAnsi="Arial" w:cs="Arial"/>
          <w:b/>
          <w:bCs/>
          <w:sz w:val="28"/>
          <w:szCs w:val="24"/>
        </w:rPr>
        <w:t>3GPP TSG RAN WG1 #9</w:t>
      </w:r>
      <w:r w:rsidR="00A479BD">
        <w:rPr>
          <w:rFonts w:ascii="Arial" w:eastAsia="Batang" w:hAnsi="Arial" w:cs="Arial"/>
          <w:b/>
          <w:bCs/>
          <w:sz w:val="28"/>
          <w:szCs w:val="24"/>
        </w:rPr>
        <w:t>9</w:t>
      </w:r>
      <w:r w:rsidRPr="002B298B">
        <w:rPr>
          <w:rFonts w:ascii="Arial" w:eastAsia="Batang" w:hAnsi="Arial" w:cs="Arial"/>
          <w:b/>
          <w:bCs/>
          <w:sz w:val="28"/>
          <w:szCs w:val="24"/>
        </w:rPr>
        <w:tab/>
      </w:r>
      <w:r w:rsidRPr="002B298B">
        <w:rPr>
          <w:rFonts w:ascii="Arial" w:eastAsia="Batang" w:hAnsi="Arial" w:cs="Arial"/>
          <w:b/>
          <w:bCs/>
          <w:sz w:val="28"/>
          <w:szCs w:val="24"/>
        </w:rPr>
        <w:tab/>
      </w:r>
      <w:r w:rsidR="009739CF" w:rsidRPr="009739CF">
        <w:rPr>
          <w:rFonts w:ascii="Arial" w:eastAsia="Batang" w:hAnsi="Arial" w:cs="Arial"/>
          <w:b/>
          <w:bCs/>
          <w:sz w:val="28"/>
          <w:szCs w:val="24"/>
        </w:rPr>
        <w:t>R1-1912949</w:t>
      </w:r>
      <w:bookmarkStart w:id="0" w:name="_GoBack"/>
      <w:bookmarkEnd w:id="0"/>
    </w:p>
    <w:p w14:paraId="7660F448" w14:textId="29EAA908" w:rsidR="002B298B" w:rsidRPr="002B298B" w:rsidRDefault="00A479BD" w:rsidP="002B298B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8"/>
          <w:szCs w:val="24"/>
          <w:lang w:eastAsia="ja-JP"/>
        </w:rPr>
      </w:pPr>
      <w:r>
        <w:rPr>
          <w:rFonts w:ascii="Arial" w:hAnsi="Arial" w:cs="Arial"/>
          <w:b/>
          <w:bCs/>
          <w:sz w:val="28"/>
          <w:szCs w:val="24"/>
          <w:lang w:eastAsia="ja-JP"/>
        </w:rPr>
        <w:t>Reno, USA</w:t>
      </w:r>
      <w:r w:rsidR="002B298B" w:rsidRPr="002B298B">
        <w:rPr>
          <w:rFonts w:ascii="Arial" w:hAnsi="Arial" w:cs="Arial"/>
          <w:b/>
          <w:bCs/>
          <w:sz w:val="28"/>
          <w:szCs w:val="24"/>
          <w:lang w:eastAsia="ja-JP"/>
        </w:rPr>
        <w:t>,</w:t>
      </w:r>
      <w:r>
        <w:rPr>
          <w:rFonts w:ascii="Arial" w:hAnsi="Arial" w:cs="Arial"/>
          <w:b/>
          <w:bCs/>
          <w:sz w:val="28"/>
          <w:szCs w:val="24"/>
          <w:lang w:eastAsia="ja-JP"/>
        </w:rPr>
        <w:t xml:space="preserve"> November</w:t>
      </w:r>
      <w:r w:rsidR="002B298B" w:rsidRPr="002B298B">
        <w:rPr>
          <w:rFonts w:ascii="Arial" w:hAnsi="Arial" w:cs="Arial"/>
          <w:b/>
          <w:bCs/>
          <w:sz w:val="28"/>
          <w:szCs w:val="24"/>
          <w:lang w:eastAsia="ja-JP"/>
        </w:rPr>
        <w:t xml:space="preserve"> 1</w:t>
      </w:r>
      <w:r>
        <w:rPr>
          <w:rFonts w:ascii="Arial" w:hAnsi="Arial" w:cs="Arial"/>
          <w:b/>
          <w:bCs/>
          <w:sz w:val="28"/>
          <w:szCs w:val="24"/>
          <w:lang w:eastAsia="ja-JP"/>
        </w:rPr>
        <w:t>8</w:t>
      </w:r>
      <w:r w:rsidR="002B298B" w:rsidRPr="002B298B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2B298B" w:rsidRPr="002B298B">
        <w:rPr>
          <w:rFonts w:ascii="Arial" w:hAnsi="Arial" w:cs="Arial"/>
          <w:b/>
          <w:bCs/>
          <w:sz w:val="28"/>
          <w:szCs w:val="24"/>
          <w:lang w:eastAsia="ja-JP"/>
        </w:rPr>
        <w:t xml:space="preserve"> – 2</w:t>
      </w:r>
      <w:r>
        <w:rPr>
          <w:rFonts w:ascii="Arial" w:hAnsi="Arial" w:cs="Arial"/>
          <w:b/>
          <w:bCs/>
          <w:sz w:val="28"/>
          <w:szCs w:val="24"/>
          <w:lang w:eastAsia="ja-JP"/>
        </w:rPr>
        <w:t>2</w:t>
      </w:r>
      <w:r w:rsidRPr="00A479BD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nd</w:t>
      </w:r>
      <w:r>
        <w:rPr>
          <w:rFonts w:ascii="Arial" w:hAnsi="Arial" w:cs="Arial"/>
          <w:b/>
          <w:bCs/>
          <w:sz w:val="28"/>
          <w:szCs w:val="24"/>
          <w:lang w:eastAsia="ja-JP"/>
        </w:rPr>
        <w:t xml:space="preserve">, </w:t>
      </w:r>
      <w:r w:rsidR="002B298B" w:rsidRPr="002B298B">
        <w:rPr>
          <w:rFonts w:ascii="Arial" w:hAnsi="Arial" w:cs="Arial"/>
          <w:b/>
          <w:bCs/>
          <w:sz w:val="28"/>
          <w:szCs w:val="24"/>
          <w:lang w:eastAsia="ja-JP"/>
        </w:rPr>
        <w:t>2019</w:t>
      </w:r>
    </w:p>
    <w:p w14:paraId="455A8E3D" w14:textId="77777777" w:rsidR="00161DB7" w:rsidRDefault="00161DB7" w:rsidP="00161DB7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>
        <w:rPr>
          <w:rFonts w:cs="Arial"/>
          <w:color w:val="000000"/>
          <w:lang w:val="en-GB"/>
        </w:rPr>
        <w:tab/>
      </w:r>
    </w:p>
    <w:p w14:paraId="3E0F9952" w14:textId="67F7844F" w:rsidR="00161DB7" w:rsidRDefault="00161DB7" w:rsidP="00161DB7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1" w:name="Source"/>
      <w:bookmarkEnd w:id="1"/>
      <w:r>
        <w:rPr>
          <w:rFonts w:ascii="Arial" w:hAnsi="Arial"/>
          <w:color w:val="000000"/>
          <w:sz w:val="24"/>
        </w:rPr>
        <w:tab/>
      </w:r>
      <w:r w:rsidR="00F859CB">
        <w:rPr>
          <w:rFonts w:ascii="Arial" w:hAnsi="Arial"/>
          <w:color w:val="000000"/>
          <w:sz w:val="24"/>
        </w:rPr>
        <w:t>7.2.4.4</w:t>
      </w:r>
    </w:p>
    <w:p w14:paraId="7779AC7D" w14:textId="77777777" w:rsidR="00161DB7" w:rsidRDefault="00161DB7" w:rsidP="00161DB7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</w:p>
    <w:p w14:paraId="11DB1F1D" w14:textId="77777777" w:rsidR="00161DB7" w:rsidRPr="00ED7BF7" w:rsidRDefault="00161DB7" w:rsidP="00161DB7">
      <w:pPr>
        <w:ind w:left="1988" w:hanging="1988"/>
        <w:jc w:val="both"/>
        <w:rPr>
          <w:rFonts w:ascii="Arial" w:hAnsi="Arial"/>
          <w:sz w:val="28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Pr="000D3B2C">
        <w:rPr>
          <w:rFonts w:ascii="Arial" w:hAnsi="Arial"/>
          <w:sz w:val="24"/>
        </w:rPr>
        <w:t>Co-existence aspects for NR-V2X and LTE-V2X</w:t>
      </w:r>
    </w:p>
    <w:p w14:paraId="1E455E00" w14:textId="77777777" w:rsidR="00161DB7" w:rsidRPr="00D55307" w:rsidRDefault="00161DB7" w:rsidP="00161DB7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Decision</w:t>
      </w:r>
    </w:p>
    <w:p w14:paraId="6633DDE5" w14:textId="77777777" w:rsidR="00161DB7" w:rsidRDefault="00161DB7" w:rsidP="00161DB7">
      <w:pPr>
        <w:pStyle w:val="Heading1"/>
        <w:jc w:val="both"/>
        <w:rPr>
          <w:lang w:val="en-US"/>
        </w:rPr>
      </w:pPr>
      <w:r>
        <w:rPr>
          <w:lang w:val="en-US"/>
        </w:rPr>
        <w:t>Introduction</w:t>
      </w:r>
    </w:p>
    <w:p w14:paraId="6ED4875C" w14:textId="6C4BB068" w:rsidR="00161DB7" w:rsidRPr="000D3B2C" w:rsidRDefault="00161DB7" w:rsidP="00161DB7">
      <w:pPr>
        <w:spacing w:after="120"/>
        <w:rPr>
          <w:rFonts w:eastAsia="SimSun"/>
          <w:lang w:eastAsia="zh-CN"/>
        </w:rPr>
      </w:pPr>
      <w:r w:rsidRPr="000D3B2C">
        <w:rPr>
          <w:rFonts w:eastAsia="SimSun"/>
          <w:lang w:eastAsia="zh-CN"/>
        </w:rPr>
        <w:t xml:space="preserve">In the RAN1 </w:t>
      </w:r>
      <w:r w:rsidR="00875F25">
        <w:rPr>
          <w:rFonts w:eastAsia="SimSun"/>
          <w:lang w:eastAsia="zh-CN"/>
        </w:rPr>
        <w:t>#97</w:t>
      </w:r>
      <w:r w:rsidRPr="000D3B2C">
        <w:rPr>
          <w:rFonts w:eastAsia="SimSun"/>
          <w:lang w:eastAsia="zh-CN"/>
        </w:rPr>
        <w:t xml:space="preserve"> following agreements have been made regarding NR V2X/LTE V2X in device coexistence</w:t>
      </w:r>
      <w:r w:rsidR="00875F25">
        <w:rPr>
          <w:rFonts w:eastAsia="SimSun"/>
          <w:lang w:eastAsia="zh-CN"/>
        </w:rPr>
        <w:t xml:space="preserve"> [2]</w:t>
      </w:r>
      <w:r w:rsidRPr="000D3B2C">
        <w:rPr>
          <w:rFonts w:eastAsia="SimSun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75F25" w14:paraId="0C5ABB0B" w14:textId="77777777" w:rsidTr="00875F25">
        <w:tc>
          <w:tcPr>
            <w:tcW w:w="9621" w:type="dxa"/>
          </w:tcPr>
          <w:p w14:paraId="0FC64AA6" w14:textId="77777777" w:rsidR="00875F25" w:rsidRPr="00875F25" w:rsidRDefault="00875F25" w:rsidP="00875F25">
            <w:pPr>
              <w:rPr>
                <w:sz w:val="18"/>
                <w:szCs w:val="18"/>
              </w:rPr>
            </w:pPr>
            <w:r w:rsidRPr="00875F25">
              <w:rPr>
                <w:sz w:val="18"/>
                <w:szCs w:val="18"/>
                <w:highlight w:val="green"/>
              </w:rPr>
              <w:t>Agreements</w:t>
            </w:r>
            <w:r w:rsidRPr="00875F25">
              <w:rPr>
                <w:sz w:val="18"/>
                <w:szCs w:val="18"/>
              </w:rPr>
              <w:t>:</w:t>
            </w:r>
          </w:p>
          <w:p w14:paraId="452A77E1" w14:textId="77777777" w:rsidR="00875F25" w:rsidRPr="00875F25" w:rsidRDefault="00875F25" w:rsidP="00875F25">
            <w:pPr>
              <w:pStyle w:val="ListParagraph"/>
              <w:numPr>
                <w:ilvl w:val="0"/>
                <w:numId w:val="10"/>
              </w:numPr>
              <w:spacing w:after="180"/>
              <w:rPr>
                <w:sz w:val="22"/>
                <w:szCs w:val="18"/>
              </w:rPr>
            </w:pPr>
            <w:r w:rsidRPr="00875F25">
              <w:rPr>
                <w:sz w:val="22"/>
                <w:szCs w:val="18"/>
                <w:lang w:eastAsia="zh-CN"/>
              </w:rPr>
              <w:t>For Tx/Tx overlap,</w:t>
            </w:r>
          </w:p>
          <w:p w14:paraId="0945C7B6" w14:textId="77777777" w:rsidR="00875F25" w:rsidRPr="00875F25" w:rsidRDefault="00875F25" w:rsidP="00875F25">
            <w:pPr>
              <w:pStyle w:val="ListParagraph"/>
              <w:numPr>
                <w:ilvl w:val="1"/>
                <w:numId w:val="10"/>
              </w:numPr>
              <w:spacing w:after="180"/>
              <w:rPr>
                <w:sz w:val="22"/>
                <w:szCs w:val="18"/>
              </w:rPr>
            </w:pPr>
            <w:r w:rsidRPr="00875F25">
              <w:rPr>
                <w:sz w:val="22"/>
                <w:szCs w:val="18"/>
                <w:lang w:eastAsia="zh-CN"/>
              </w:rPr>
              <w:t>Confirm the working assumption made in RAN1#96bis</w:t>
            </w:r>
          </w:p>
          <w:p w14:paraId="550B43D8" w14:textId="77777777" w:rsidR="00875F25" w:rsidRPr="00875F25" w:rsidRDefault="00875F25" w:rsidP="00875F25">
            <w:pPr>
              <w:pStyle w:val="ListParagraph"/>
              <w:numPr>
                <w:ilvl w:val="1"/>
                <w:numId w:val="10"/>
              </w:numPr>
              <w:spacing w:after="180"/>
              <w:rPr>
                <w:sz w:val="22"/>
                <w:szCs w:val="18"/>
              </w:rPr>
            </w:pPr>
            <w:r w:rsidRPr="00875F25">
              <w:rPr>
                <w:sz w:val="22"/>
                <w:szCs w:val="18"/>
              </w:rPr>
              <w:t xml:space="preserve">UE capability is defined for short-term </w:t>
            </w:r>
            <w:proofErr w:type="gramStart"/>
            <w:r w:rsidRPr="00875F25">
              <w:rPr>
                <w:sz w:val="22"/>
                <w:szCs w:val="18"/>
              </w:rPr>
              <w:t>time-scale</w:t>
            </w:r>
            <w:proofErr w:type="gramEnd"/>
            <w:r w:rsidRPr="00875F25">
              <w:rPr>
                <w:sz w:val="22"/>
                <w:szCs w:val="18"/>
              </w:rPr>
              <w:t xml:space="preserve"> TDM for in-device coexistence</w:t>
            </w:r>
          </w:p>
          <w:p w14:paraId="2C368E2F" w14:textId="77777777" w:rsidR="00875F25" w:rsidRPr="00875F25" w:rsidRDefault="00875F25" w:rsidP="00875F25">
            <w:pPr>
              <w:rPr>
                <w:sz w:val="18"/>
                <w:szCs w:val="18"/>
              </w:rPr>
            </w:pPr>
            <w:r w:rsidRPr="00875F25">
              <w:rPr>
                <w:sz w:val="18"/>
                <w:szCs w:val="18"/>
                <w:highlight w:val="green"/>
              </w:rPr>
              <w:t>Agreements</w:t>
            </w:r>
            <w:r w:rsidRPr="00875F25">
              <w:rPr>
                <w:sz w:val="18"/>
                <w:szCs w:val="18"/>
              </w:rPr>
              <w:t>:</w:t>
            </w:r>
          </w:p>
          <w:p w14:paraId="43F97D50" w14:textId="77777777" w:rsidR="00875F25" w:rsidRPr="00875F25" w:rsidRDefault="00875F25" w:rsidP="00875F25">
            <w:pPr>
              <w:pStyle w:val="ListParagraph"/>
              <w:numPr>
                <w:ilvl w:val="0"/>
                <w:numId w:val="10"/>
              </w:numPr>
              <w:spacing w:after="180"/>
              <w:rPr>
                <w:sz w:val="22"/>
                <w:szCs w:val="18"/>
              </w:rPr>
            </w:pPr>
            <w:r w:rsidRPr="00875F25">
              <w:rPr>
                <w:sz w:val="22"/>
                <w:szCs w:val="18"/>
              </w:rPr>
              <w:t xml:space="preserve">For Rx/Rx overlap, </w:t>
            </w:r>
          </w:p>
          <w:p w14:paraId="16606DA3" w14:textId="52D9118A" w:rsidR="00875F25" w:rsidRDefault="00875F25" w:rsidP="00875F25">
            <w:pPr>
              <w:pStyle w:val="ListParagraph"/>
              <w:numPr>
                <w:ilvl w:val="1"/>
                <w:numId w:val="10"/>
              </w:numPr>
              <w:spacing w:after="180"/>
            </w:pPr>
            <w:r w:rsidRPr="00875F25">
              <w:rPr>
                <w:sz w:val="22"/>
                <w:szCs w:val="18"/>
              </w:rPr>
              <w:t>Up to UE implementation to manage receptions of LTE and NR sidelinks.</w:t>
            </w:r>
          </w:p>
        </w:tc>
      </w:tr>
    </w:tbl>
    <w:p w14:paraId="08A04A3F" w14:textId="3EC742A7" w:rsidR="00161DB7" w:rsidRDefault="00FF5AB3" w:rsidP="00F53ABF">
      <w:r>
        <w:t>In RAN1 #98 following agreements are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F5AB3" w14:paraId="4CFCC84A" w14:textId="77777777" w:rsidTr="00FF5AB3">
        <w:tc>
          <w:tcPr>
            <w:tcW w:w="9621" w:type="dxa"/>
          </w:tcPr>
          <w:p w14:paraId="4231F593" w14:textId="77777777" w:rsidR="00FF5AB3" w:rsidRPr="005C4CEB" w:rsidRDefault="00FF5AB3" w:rsidP="00FF5AB3">
            <w:pPr>
              <w:rPr>
                <w:b/>
                <w:bCs/>
                <w:lang w:eastAsia="x-none"/>
              </w:rPr>
            </w:pPr>
            <w:r w:rsidRPr="005C4CEB">
              <w:rPr>
                <w:highlight w:val="green"/>
                <w:lang w:eastAsia="x-none"/>
              </w:rPr>
              <w:t>Agreements</w:t>
            </w:r>
            <w:r w:rsidRPr="005C4CEB">
              <w:rPr>
                <w:b/>
                <w:bCs/>
                <w:lang w:eastAsia="x-none"/>
              </w:rPr>
              <w:t>:</w:t>
            </w:r>
          </w:p>
          <w:p w14:paraId="65FBDEA7" w14:textId="01CBE828" w:rsidR="00FF5AB3" w:rsidRPr="005C4CEB" w:rsidRDefault="00FF5AB3" w:rsidP="00FF5AB3">
            <w:r w:rsidRPr="005C4CEB">
              <w:rPr>
                <w:lang w:eastAsia="zh-CN"/>
              </w:rPr>
              <w:t xml:space="preserve">Unless packet priorities of both LTE and NR sidelink are known to both RATs prior to time of collision (subject to </w:t>
            </w:r>
            <w:r w:rsidRPr="005C4CEB">
              <w:t>processing time restriction), then</w:t>
            </w:r>
          </w:p>
          <w:p w14:paraId="0A99A801" w14:textId="77777777" w:rsidR="00FF5AB3" w:rsidRPr="00FF5AB3" w:rsidRDefault="00FF5AB3" w:rsidP="00FF5AB3">
            <w:pPr>
              <w:pStyle w:val="ListParagraph"/>
              <w:numPr>
                <w:ilvl w:val="0"/>
                <w:numId w:val="12"/>
              </w:numPr>
              <w:spacing w:after="180"/>
              <w:rPr>
                <w:rFonts w:eastAsia="MS Mincho"/>
                <w:sz w:val="20"/>
                <w:szCs w:val="20"/>
                <w:lang w:val="en-GB"/>
              </w:rPr>
            </w:pPr>
            <w:r w:rsidRPr="00FF5AB3">
              <w:rPr>
                <w:rFonts w:eastAsia="MS Mincho"/>
                <w:sz w:val="20"/>
                <w:szCs w:val="20"/>
                <w:lang w:val="en-GB"/>
              </w:rPr>
              <w:t>It is up to UE implementation to handle LTE Tx/NR Rx overlap.</w:t>
            </w:r>
          </w:p>
          <w:p w14:paraId="43CEE117" w14:textId="77777777" w:rsidR="00FF5AB3" w:rsidRPr="00FF5AB3" w:rsidRDefault="00FF5AB3" w:rsidP="00FF5AB3">
            <w:pPr>
              <w:pStyle w:val="ListParagraph"/>
              <w:numPr>
                <w:ilvl w:val="0"/>
                <w:numId w:val="12"/>
              </w:numPr>
              <w:spacing w:after="180"/>
              <w:rPr>
                <w:rFonts w:eastAsia="MS Mincho"/>
                <w:sz w:val="20"/>
                <w:szCs w:val="20"/>
                <w:lang w:val="en-GB"/>
              </w:rPr>
            </w:pPr>
            <w:r w:rsidRPr="00FF5AB3">
              <w:rPr>
                <w:rFonts w:eastAsia="MS Mincho"/>
                <w:sz w:val="20"/>
                <w:szCs w:val="20"/>
                <w:lang w:val="en-GB"/>
              </w:rPr>
              <w:t>It is up to UE implementation to handle NR Tx and LTE Rx overlap.</w:t>
            </w:r>
          </w:p>
          <w:p w14:paraId="33A876C7" w14:textId="77777777" w:rsidR="00FF5AB3" w:rsidRPr="00722791" w:rsidRDefault="00FF5AB3" w:rsidP="00FF5AB3">
            <w:pPr>
              <w:rPr>
                <w:highlight w:val="green"/>
                <w:lang w:eastAsia="x-none"/>
              </w:rPr>
            </w:pPr>
            <w:r w:rsidRPr="00722791">
              <w:rPr>
                <w:highlight w:val="green"/>
                <w:lang w:eastAsia="x-none"/>
              </w:rPr>
              <w:t>Agreements:</w:t>
            </w:r>
          </w:p>
          <w:p w14:paraId="60E17AD8" w14:textId="77777777" w:rsidR="00FF5AB3" w:rsidRPr="00E75532" w:rsidRDefault="00FF5AB3" w:rsidP="00FF5AB3">
            <w:pPr>
              <w:numPr>
                <w:ilvl w:val="0"/>
                <w:numId w:val="13"/>
              </w:numPr>
              <w:spacing w:after="0"/>
            </w:pPr>
            <w:r w:rsidRPr="00E75532">
              <w:t xml:space="preserve">RAN1 understand that NR V2X priority field and PPPP are directly comparable i.e. the same numerical value has the same meaning in both the RATs. </w:t>
            </w:r>
          </w:p>
          <w:p w14:paraId="4532A668" w14:textId="77777777" w:rsidR="00FF5AB3" w:rsidRPr="00E75532" w:rsidRDefault="00FF5AB3" w:rsidP="00FF5AB3">
            <w:pPr>
              <w:numPr>
                <w:ilvl w:val="1"/>
                <w:numId w:val="13"/>
              </w:numPr>
              <w:spacing w:after="0"/>
            </w:pPr>
            <w:r w:rsidRPr="00E75532">
              <w:t xml:space="preserve">Ask SA2 to confirm the understanding. If understanding is incorrect, please provide solution. </w:t>
            </w:r>
          </w:p>
          <w:p w14:paraId="54333ECB" w14:textId="77777777" w:rsidR="00FF5AB3" w:rsidRDefault="00FF5AB3" w:rsidP="00F53ABF"/>
        </w:tc>
      </w:tr>
    </w:tbl>
    <w:p w14:paraId="7D54D0C3" w14:textId="575E5670" w:rsidR="00FF5AB3" w:rsidRDefault="00FF5AB3" w:rsidP="00F53ABF"/>
    <w:p w14:paraId="5926F08F" w14:textId="3375ED1B" w:rsidR="00A479BD" w:rsidRDefault="00A479BD" w:rsidP="00F53ABF">
      <w:r>
        <w:t>In RAN1 98Bis and email discussion after the RAN1 meeting following agreements are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479BD" w14:paraId="60D8F6B7" w14:textId="77777777" w:rsidTr="00A479BD">
        <w:tc>
          <w:tcPr>
            <w:tcW w:w="9621" w:type="dxa"/>
          </w:tcPr>
          <w:p w14:paraId="7E7DA5BD" w14:textId="77777777" w:rsidR="00A479BD" w:rsidRPr="00AD6637" w:rsidRDefault="00A479BD" w:rsidP="00A479BD">
            <w:pPr>
              <w:rPr>
                <w:lang w:eastAsia="x-none"/>
              </w:rPr>
            </w:pPr>
            <w:r w:rsidRPr="00AD6637">
              <w:rPr>
                <w:highlight w:val="green"/>
                <w:lang w:eastAsia="x-none"/>
              </w:rPr>
              <w:t>Agreements</w:t>
            </w:r>
            <w:r w:rsidRPr="00AD6637">
              <w:rPr>
                <w:lang w:eastAsia="x-none"/>
              </w:rPr>
              <w:t>:</w:t>
            </w:r>
          </w:p>
          <w:p w14:paraId="354C4D01" w14:textId="77777777" w:rsidR="00A479BD" w:rsidRPr="00AD6637" w:rsidRDefault="00A479BD" w:rsidP="00A479BD">
            <w:pPr>
              <w:numPr>
                <w:ilvl w:val="1"/>
                <w:numId w:val="14"/>
              </w:numPr>
              <w:spacing w:after="0"/>
              <w:rPr>
                <w:lang w:eastAsia="x-none"/>
              </w:rPr>
            </w:pPr>
            <w:r w:rsidRPr="00AD6637">
              <w:rPr>
                <w:lang w:eastAsia="x-none"/>
              </w:rPr>
              <w:t xml:space="preserve">For Tx/Rx overlap, </w:t>
            </w:r>
          </w:p>
          <w:p w14:paraId="4B32F741" w14:textId="478239E2" w:rsidR="00A479BD" w:rsidRPr="00AD6637" w:rsidRDefault="00A479BD" w:rsidP="00A479BD">
            <w:pPr>
              <w:numPr>
                <w:ilvl w:val="2"/>
                <w:numId w:val="14"/>
              </w:numPr>
              <w:spacing w:after="0"/>
              <w:rPr>
                <w:lang w:eastAsia="x-none"/>
              </w:rPr>
            </w:pPr>
            <w:r w:rsidRPr="00AD6637">
              <w:rPr>
                <w:lang w:eastAsia="x-none"/>
              </w:rPr>
              <w:t xml:space="preserve">If packet priorities of both LTE and NR sidelinks are known to both RATs prior to time of transmission/reception subject to processing time restrictions, then the packet with a higher relative priority is transmitted/received </w:t>
            </w:r>
          </w:p>
          <w:p w14:paraId="7D4454EC" w14:textId="77777777" w:rsidR="00A479BD" w:rsidRPr="00AD6637" w:rsidRDefault="00A479BD" w:rsidP="00A479BD">
            <w:pPr>
              <w:numPr>
                <w:ilvl w:val="3"/>
                <w:numId w:val="14"/>
              </w:numPr>
              <w:spacing w:after="0"/>
              <w:rPr>
                <w:lang w:eastAsia="x-none"/>
              </w:rPr>
            </w:pPr>
            <w:r w:rsidRPr="00AD6637">
              <w:rPr>
                <w:lang w:eastAsia="x-none"/>
              </w:rPr>
              <w:t>In case the priorities of LTE and NR sidelink packets are the same, then it is up to UE implementation as to which packet is transmitted/received</w:t>
            </w:r>
          </w:p>
          <w:p w14:paraId="417AD98C" w14:textId="77777777" w:rsidR="00A479BD" w:rsidRPr="00AA517B" w:rsidRDefault="00A479BD" w:rsidP="00A479BD">
            <w:pPr>
              <w:rPr>
                <w:lang w:eastAsia="x-none"/>
              </w:rPr>
            </w:pPr>
            <w:r w:rsidRPr="00AA517B">
              <w:rPr>
                <w:highlight w:val="green"/>
                <w:lang w:eastAsia="x-none"/>
              </w:rPr>
              <w:t>Agreements</w:t>
            </w:r>
            <w:r w:rsidRPr="00AA517B">
              <w:rPr>
                <w:lang w:eastAsia="x-none"/>
              </w:rPr>
              <w:t>:</w:t>
            </w:r>
          </w:p>
          <w:p w14:paraId="20F8946C" w14:textId="77777777" w:rsidR="00A479BD" w:rsidRPr="00AA517B" w:rsidRDefault="00A479BD" w:rsidP="00A479BD">
            <w:pPr>
              <w:numPr>
                <w:ilvl w:val="1"/>
                <w:numId w:val="14"/>
              </w:numPr>
              <w:spacing w:after="0"/>
              <w:rPr>
                <w:lang w:eastAsia="x-none"/>
              </w:rPr>
            </w:pPr>
            <w:r w:rsidRPr="00AA517B">
              <w:rPr>
                <w:lang w:eastAsia="x-none"/>
              </w:rPr>
              <w:t xml:space="preserve">For sidelink synchronization signal/channel (including S-SSB and LTE SLSS/PSBCH) priority for a UE is (pre)-configured per UE </w:t>
            </w:r>
          </w:p>
          <w:p w14:paraId="7B62AE6D" w14:textId="77777777" w:rsidR="00A479BD" w:rsidRPr="00AA517B" w:rsidRDefault="00A479BD" w:rsidP="00A479BD">
            <w:pPr>
              <w:numPr>
                <w:ilvl w:val="2"/>
                <w:numId w:val="14"/>
              </w:numPr>
              <w:spacing w:after="0"/>
              <w:rPr>
                <w:lang w:eastAsia="x-none"/>
              </w:rPr>
            </w:pPr>
            <w:r w:rsidRPr="00AA517B">
              <w:rPr>
                <w:lang w:eastAsia="x-none"/>
              </w:rPr>
              <w:t>The (pre)-configured priority is used in the same way as the priority for other channel/signals w.r.t. prioritization for handling in-device co-existence</w:t>
            </w:r>
          </w:p>
          <w:p w14:paraId="13CA7879" w14:textId="77777777" w:rsidR="00A479BD" w:rsidRPr="00AA517B" w:rsidRDefault="00A479BD" w:rsidP="00A479BD">
            <w:pPr>
              <w:numPr>
                <w:ilvl w:val="2"/>
                <w:numId w:val="14"/>
              </w:numPr>
              <w:spacing w:after="0"/>
              <w:rPr>
                <w:lang w:eastAsia="x-none"/>
              </w:rPr>
            </w:pPr>
            <w:r w:rsidRPr="00AA517B">
              <w:rPr>
                <w:lang w:eastAsia="x-none"/>
              </w:rPr>
              <w:t xml:space="preserve">Note: it is understood that the same priority (pre)-configuration is intended for all the related UEs </w:t>
            </w:r>
          </w:p>
          <w:p w14:paraId="597C6A96" w14:textId="77777777" w:rsidR="00A479BD" w:rsidRPr="00AA517B" w:rsidRDefault="00A479BD" w:rsidP="00A479BD">
            <w:pPr>
              <w:numPr>
                <w:ilvl w:val="1"/>
                <w:numId w:val="14"/>
              </w:numPr>
              <w:spacing w:after="0"/>
              <w:rPr>
                <w:lang w:eastAsia="x-none"/>
              </w:rPr>
            </w:pPr>
            <w:r w:rsidRPr="00AA517B">
              <w:rPr>
                <w:lang w:eastAsia="x-none"/>
              </w:rPr>
              <w:lastRenderedPageBreak/>
              <w:t>The priority of PSFCH is set as the priority of the corresponding PSSCH.</w:t>
            </w:r>
          </w:p>
          <w:p w14:paraId="3F5C2EB3" w14:textId="77777777" w:rsidR="00A479BD" w:rsidRDefault="00A479BD" w:rsidP="00F53ABF"/>
          <w:p w14:paraId="23CD24D3" w14:textId="77777777" w:rsidR="00A479BD" w:rsidRDefault="00A479BD" w:rsidP="00A479BD">
            <w:pPr>
              <w:numPr>
                <w:ilvl w:val="0"/>
                <w:numId w:val="15"/>
              </w:numPr>
              <w:spacing w:after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UE reports its capability to the network of whether it supports short-term time scale TDM solutions.</w:t>
            </w:r>
          </w:p>
          <w:p w14:paraId="100A6BAD" w14:textId="77777777" w:rsidR="00A479BD" w:rsidRDefault="00A479BD" w:rsidP="00A479BD">
            <w:pPr>
              <w:numPr>
                <w:ilvl w:val="0"/>
                <w:numId w:val="15"/>
              </w:numPr>
              <w:spacing w:after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Resource allocation related information is not reported to other RAT.</w:t>
            </w:r>
          </w:p>
          <w:p w14:paraId="171D79DE" w14:textId="4E78517C" w:rsidR="00A479BD" w:rsidRDefault="00A479BD" w:rsidP="00F53ABF"/>
        </w:tc>
      </w:tr>
    </w:tbl>
    <w:p w14:paraId="4E15FAE7" w14:textId="77777777" w:rsidR="00A479BD" w:rsidRPr="00161DB7" w:rsidRDefault="00A479BD" w:rsidP="00F53ABF"/>
    <w:p w14:paraId="590C4607" w14:textId="6FD66AF1" w:rsidR="00161DB7" w:rsidRPr="000D3B2C" w:rsidRDefault="00161DB7" w:rsidP="00161DB7">
      <w:pPr>
        <w:spacing w:after="120"/>
        <w:rPr>
          <w:rFonts w:eastAsia="SimSun"/>
          <w:lang w:eastAsia="zh-CN"/>
        </w:rPr>
      </w:pPr>
      <w:r w:rsidRPr="000D3B2C">
        <w:t xml:space="preserve">Since RAN1 </w:t>
      </w:r>
      <w:r>
        <w:t>has concluded that long term TDM coexistence has no specification impact</w:t>
      </w:r>
      <w:r w:rsidRPr="000D3B2C">
        <w:t>, we focus our discussion in this paper to short term (i.e. TTI level) solution.</w:t>
      </w:r>
    </w:p>
    <w:p w14:paraId="46E77234" w14:textId="520980D5" w:rsidR="00161DB7" w:rsidRDefault="00161DB7" w:rsidP="00161DB7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 xml:space="preserve">Short Term TDM </w:t>
      </w:r>
      <w:bookmarkStart w:id="2" w:name="_Hlk525802761"/>
      <w:r>
        <w:t>of LTE V2X and NR V2X</w:t>
      </w:r>
    </w:p>
    <w:p w14:paraId="51A03F13" w14:textId="6086812D" w:rsidR="00CE6D74" w:rsidRDefault="00CE6D74" w:rsidP="00CE6D74">
      <w:r>
        <w:t>In [6] it is captured that most of the proposals from different companies are cantered around following 3 topics: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D294E" w14:paraId="5B065904" w14:textId="77777777" w:rsidTr="006D294E">
        <w:tc>
          <w:tcPr>
            <w:tcW w:w="9621" w:type="dxa"/>
          </w:tcPr>
          <w:p w14:paraId="1D91C419" w14:textId="77777777" w:rsidR="006D294E" w:rsidRPr="006D294E" w:rsidRDefault="006D294E" w:rsidP="006D294E">
            <w:pPr>
              <w:pStyle w:val="ListParagraph"/>
              <w:numPr>
                <w:ilvl w:val="0"/>
                <w:numId w:val="16"/>
              </w:numPr>
              <w:spacing w:after="180"/>
              <w:jc w:val="both"/>
              <w:rPr>
                <w:rFonts w:eastAsia="MS Mincho"/>
                <w:sz w:val="20"/>
                <w:szCs w:val="20"/>
                <w:lang w:val="en-GB"/>
              </w:rPr>
            </w:pPr>
            <w:r w:rsidRPr="006D294E">
              <w:rPr>
                <w:rFonts w:eastAsia="MS Mincho"/>
                <w:sz w:val="20"/>
                <w:szCs w:val="20"/>
                <w:lang w:val="en-GB"/>
              </w:rPr>
              <w:t>Short Term TDM solution for Tx/Rx overlap between LTE and NR</w:t>
            </w:r>
          </w:p>
          <w:p w14:paraId="7C1CBE28" w14:textId="77777777" w:rsidR="006D294E" w:rsidRPr="006D294E" w:rsidRDefault="006D294E" w:rsidP="006D294E">
            <w:pPr>
              <w:pStyle w:val="ListParagraph"/>
              <w:numPr>
                <w:ilvl w:val="0"/>
                <w:numId w:val="16"/>
              </w:numPr>
              <w:spacing w:after="180"/>
              <w:jc w:val="both"/>
              <w:rPr>
                <w:rFonts w:eastAsia="MS Mincho"/>
                <w:sz w:val="20"/>
                <w:szCs w:val="20"/>
                <w:lang w:val="en-GB"/>
              </w:rPr>
            </w:pPr>
            <w:r w:rsidRPr="006D294E">
              <w:rPr>
                <w:rFonts w:eastAsia="MS Mincho"/>
                <w:sz w:val="20"/>
                <w:szCs w:val="20"/>
                <w:lang w:val="en-GB"/>
              </w:rPr>
              <w:t>Priority of PSBCH/CSI/PSFCH transmission</w:t>
            </w:r>
          </w:p>
          <w:p w14:paraId="7B788EAC" w14:textId="124E1D71" w:rsidR="006D294E" w:rsidRDefault="006D294E" w:rsidP="006D294E">
            <w:pPr>
              <w:pStyle w:val="ListParagraph"/>
              <w:numPr>
                <w:ilvl w:val="0"/>
                <w:numId w:val="16"/>
              </w:numPr>
              <w:spacing w:after="180"/>
              <w:jc w:val="both"/>
            </w:pPr>
            <w:r w:rsidRPr="006D294E">
              <w:rPr>
                <w:rFonts w:eastAsia="MS Mincho"/>
                <w:sz w:val="20"/>
                <w:szCs w:val="20"/>
                <w:lang w:val="en-GB"/>
              </w:rPr>
              <w:t>Coexistence with Network Involvement</w:t>
            </w:r>
          </w:p>
        </w:tc>
      </w:tr>
    </w:tbl>
    <w:p w14:paraId="782265B4" w14:textId="1AFE9756" w:rsidR="00CE6D74" w:rsidRDefault="00CE6D74" w:rsidP="00CE6D74"/>
    <w:p w14:paraId="1EBC1767" w14:textId="433F9D90" w:rsidR="006D294E" w:rsidRDefault="006D294E" w:rsidP="00CE6D74">
      <w:r>
        <w:t xml:space="preserve">Agreements made in RAN1 #98Bis resolve open issues with respect to above mentioned topics. Another aspect which some companies have proposed is with respect to effect of in-device co-existence on resource allocation. In our view since Tx/Tx and Tx/Rx overlap can be not very frequent so no need to consider optimisation for resource allocation. </w:t>
      </w:r>
    </w:p>
    <w:p w14:paraId="7A8C85D6" w14:textId="2149A87E" w:rsidR="006D294E" w:rsidRPr="00CE6D74" w:rsidRDefault="006D294E" w:rsidP="00CE6D74">
      <w:r w:rsidRPr="006D294E">
        <w:rPr>
          <w:b/>
          <w:bCs/>
        </w:rPr>
        <w:t>Observation 1:</w:t>
      </w:r>
      <w:r>
        <w:t xml:space="preserve"> No need to consider resource allocation related optimisation for in-device co-existence.</w:t>
      </w:r>
    </w:p>
    <w:p w14:paraId="74CB5589" w14:textId="77777777" w:rsidR="00161DB7" w:rsidRDefault="00161DB7" w:rsidP="006D294E">
      <w:pPr>
        <w:pStyle w:val="Heading1"/>
      </w:pPr>
      <w:r>
        <w:t>Inter-band Scenario</w:t>
      </w:r>
    </w:p>
    <w:p w14:paraId="379D4D8D" w14:textId="4E2D49F2" w:rsidR="00161DB7" w:rsidRDefault="00161DB7" w:rsidP="00161DB7">
      <w:r>
        <w:t xml:space="preserve">Even though all the discussion so far implicitly assumes intra-band different channel scenario. All the </w:t>
      </w:r>
      <w:r w:rsidR="006D294E">
        <w:t xml:space="preserve">agreements so far made are also applicable to inter-band scenario. </w:t>
      </w:r>
    </w:p>
    <w:p w14:paraId="3D0A4944" w14:textId="3A7AA7EC" w:rsidR="00161DB7" w:rsidRDefault="00161DB7" w:rsidP="00F53ABF">
      <w:pPr>
        <w:rPr>
          <w:rFonts w:eastAsia="SimSun"/>
          <w:b/>
          <w:color w:val="000000"/>
          <w:lang w:eastAsia="zh-CN"/>
        </w:rPr>
      </w:pPr>
      <w:r w:rsidRPr="009F7E58">
        <w:rPr>
          <w:b/>
        </w:rPr>
        <w:t>Observation 2:</w:t>
      </w:r>
      <w:r w:rsidRPr="009F7E58">
        <w:t xml:space="preserve"> For inter</w:t>
      </w:r>
      <w:r>
        <w:t>-</w:t>
      </w:r>
      <w:r w:rsidRPr="009F7E58">
        <w:t xml:space="preserve">band scenario, all the solution </w:t>
      </w:r>
      <w:r w:rsidR="006D294E">
        <w:t>agreed so far are applicable</w:t>
      </w:r>
      <w:r w:rsidRPr="009F7E58">
        <w:t xml:space="preserve">. If there is enough frequency separation, there is no need to handle Tx/Rx case.  </w:t>
      </w:r>
      <w:bookmarkEnd w:id="2"/>
      <w:r w:rsidRPr="0027270B">
        <w:rPr>
          <w:rFonts w:eastAsia="SimSun"/>
          <w:b/>
          <w:color w:val="000000"/>
          <w:lang w:eastAsia="zh-CN"/>
        </w:rPr>
        <w:t xml:space="preserve"> </w:t>
      </w:r>
    </w:p>
    <w:p w14:paraId="5E5DCF5C" w14:textId="33BCD391" w:rsidR="006D294E" w:rsidRDefault="006D294E" w:rsidP="00F53ABF">
      <w:r w:rsidRPr="00F071B5">
        <w:t xml:space="preserve">Considering that all the open issues related to in-device co-existence are resolved, </w:t>
      </w:r>
      <w:r w:rsidR="00F071B5">
        <w:t xml:space="preserve">the agenda item for in-device co-existence can be closed. </w:t>
      </w:r>
    </w:p>
    <w:p w14:paraId="6E0D3BBD" w14:textId="4A284E9E" w:rsidR="00F071B5" w:rsidRPr="00F071B5" w:rsidRDefault="00F071B5" w:rsidP="00F53ABF">
      <w:r w:rsidRPr="00F071B5">
        <w:rPr>
          <w:b/>
          <w:bCs/>
        </w:rPr>
        <w:t>Proposal 1:</w:t>
      </w:r>
      <w:r>
        <w:t xml:space="preserve"> Close the agenda item for in-device co-existence.</w:t>
      </w:r>
    </w:p>
    <w:p w14:paraId="4EA99024" w14:textId="77777777" w:rsidR="00161DB7" w:rsidRDefault="00161DB7" w:rsidP="00161DB7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5A0B9822" w14:textId="77777777" w:rsidR="00161DB7" w:rsidRDefault="00161DB7" w:rsidP="00161DB7">
      <w:pPr>
        <w:rPr>
          <w:lang w:eastAsia="zh-CN"/>
        </w:rPr>
      </w:pPr>
      <w:r>
        <w:rPr>
          <w:lang w:eastAsia="zh-CN"/>
        </w:rPr>
        <w:t>The following proposals are made regarding in-device co-existence:</w:t>
      </w:r>
    </w:p>
    <w:p w14:paraId="13AE1BA9" w14:textId="77777777" w:rsidR="00F071B5" w:rsidRPr="00F071B5" w:rsidRDefault="00F071B5" w:rsidP="00F071B5">
      <w:bookmarkStart w:id="3" w:name="_Ref189809556"/>
      <w:bookmarkStart w:id="4" w:name="_Ref174151459"/>
      <w:bookmarkStart w:id="5" w:name="_Ref450865335"/>
      <w:r w:rsidRPr="00F071B5">
        <w:rPr>
          <w:b/>
          <w:bCs/>
        </w:rPr>
        <w:t>Proposal 1:</w:t>
      </w:r>
      <w:r>
        <w:t xml:space="preserve"> Close the agenda item for in-device co-existence.</w:t>
      </w:r>
    </w:p>
    <w:p w14:paraId="3A23C49C" w14:textId="645346BE" w:rsidR="008B2948" w:rsidRPr="00B93BAD" w:rsidRDefault="008B2948" w:rsidP="00F53ABF">
      <w:pPr>
        <w:pStyle w:val="Heading1"/>
      </w:pPr>
      <w:r w:rsidRPr="00B93BAD">
        <w:t>Reference</w:t>
      </w:r>
      <w:bookmarkEnd w:id="3"/>
      <w:bookmarkEnd w:id="4"/>
      <w:bookmarkEnd w:id="5"/>
      <w:r w:rsidRPr="00B93BAD">
        <w:t>s</w:t>
      </w:r>
    </w:p>
    <w:p w14:paraId="11A2F61C" w14:textId="24CE0514" w:rsidR="008B2948" w:rsidRDefault="008B2948" w:rsidP="008B2948">
      <w:pPr>
        <w:spacing w:after="60"/>
        <w:ind w:left="1985" w:hanging="1985"/>
        <w:rPr>
          <w:rFonts w:cs="Arial"/>
          <w:lang w:val="en-US"/>
        </w:rPr>
      </w:pPr>
      <w:r w:rsidRPr="00CE6D74">
        <w:rPr>
          <w:rFonts w:cs="Arial"/>
          <w:lang w:val="en-US"/>
        </w:rPr>
        <w:t xml:space="preserve">[1] S2-1904823, LS response on </w:t>
      </w:r>
      <w:r>
        <w:rPr>
          <w:rFonts w:cs="Arial"/>
          <w:lang w:val="en-US"/>
        </w:rPr>
        <w:t>unicast, groupcast and broadcast in NR sidelink</w:t>
      </w:r>
    </w:p>
    <w:p w14:paraId="5A79550E" w14:textId="51BA49B7" w:rsidR="00875F25" w:rsidRDefault="00875F25" w:rsidP="008B2948">
      <w:pPr>
        <w:spacing w:after="60"/>
        <w:ind w:left="1985" w:hanging="1985"/>
        <w:rPr>
          <w:rFonts w:cs="Arial"/>
          <w:lang w:val="en-US"/>
        </w:rPr>
      </w:pPr>
      <w:r>
        <w:rPr>
          <w:rFonts w:cs="Arial"/>
          <w:lang w:val="en-US"/>
        </w:rPr>
        <w:t>[2] Chairman notes RAN1#97</w:t>
      </w:r>
    </w:p>
    <w:p w14:paraId="1B91EE1F" w14:textId="4CA005CC" w:rsidR="007520C8" w:rsidRDefault="007520C8" w:rsidP="007520C8">
      <w:pPr>
        <w:spacing w:after="60"/>
        <w:ind w:left="1985" w:hanging="1985"/>
        <w:rPr>
          <w:rFonts w:cs="Arial"/>
          <w:lang w:val="en-US"/>
        </w:rPr>
      </w:pPr>
      <w:r>
        <w:rPr>
          <w:rFonts w:cs="Arial"/>
          <w:lang w:val="en-US"/>
        </w:rPr>
        <w:t>[3] Chairman notes RAN1#96Bis</w:t>
      </w:r>
    </w:p>
    <w:p w14:paraId="72C3D83E" w14:textId="38CA489A" w:rsidR="001838E4" w:rsidRDefault="001838E4" w:rsidP="001838E4">
      <w:pPr>
        <w:spacing w:after="60"/>
        <w:ind w:left="1985" w:hanging="1985"/>
        <w:rPr>
          <w:rFonts w:cs="Arial"/>
          <w:lang w:val="en-US"/>
        </w:rPr>
      </w:pPr>
      <w:r>
        <w:rPr>
          <w:rFonts w:cs="Arial"/>
          <w:lang w:val="en-US"/>
        </w:rPr>
        <w:t>[4] Chairman notes RAN1#98</w:t>
      </w:r>
    </w:p>
    <w:p w14:paraId="43500719" w14:textId="19395134" w:rsidR="00CE6D74" w:rsidRDefault="00CE6D74" w:rsidP="001838E4">
      <w:pPr>
        <w:spacing w:after="60"/>
        <w:ind w:left="1985" w:hanging="1985"/>
        <w:rPr>
          <w:rFonts w:cs="Arial"/>
          <w:lang w:val="en-US"/>
        </w:rPr>
      </w:pPr>
      <w:r>
        <w:rPr>
          <w:rFonts w:cs="Arial"/>
          <w:lang w:val="en-US"/>
        </w:rPr>
        <w:t>[5] Chairman notes RAN1#98Bis</w:t>
      </w:r>
    </w:p>
    <w:p w14:paraId="25AF9000" w14:textId="092D4CDE" w:rsidR="00120B38" w:rsidRDefault="00CE6D74" w:rsidP="00F071B5">
      <w:pPr>
        <w:spacing w:after="60"/>
        <w:ind w:left="1985" w:hanging="1985"/>
      </w:pPr>
      <w:r>
        <w:rPr>
          <w:rFonts w:cs="Arial"/>
          <w:lang w:val="en-US"/>
        </w:rPr>
        <w:t xml:space="preserve">[6] </w:t>
      </w:r>
      <w:r w:rsidRPr="00CE6D74">
        <w:rPr>
          <w:rFonts w:cs="Arial"/>
          <w:lang w:val="en-US"/>
        </w:rPr>
        <w:t>R1-1911684, “Feature Lead summary of In-device Coexistence Aspects in NR-V2X (AI 7.2.4.4)”, Qualcomm Incorporated</w:t>
      </w:r>
    </w:p>
    <w:sectPr w:rsidR="00120B38" w:rsidSect="007D2899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B18C3" w14:textId="77777777" w:rsidR="00B62330" w:rsidRDefault="00B62330">
      <w:pPr>
        <w:spacing w:after="0"/>
      </w:pPr>
      <w:r>
        <w:separator/>
      </w:r>
    </w:p>
  </w:endnote>
  <w:endnote w:type="continuationSeparator" w:id="0">
    <w:p w14:paraId="74557467" w14:textId="77777777" w:rsidR="00B62330" w:rsidRDefault="00B62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B575B" w14:textId="77777777" w:rsidR="000C274E" w:rsidRDefault="004E47C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6492FAF9" w14:textId="77777777" w:rsidR="000C274E" w:rsidRDefault="009739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574A9" w14:textId="77777777" w:rsidR="000C274E" w:rsidRDefault="004E47C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393974E6" w14:textId="77777777" w:rsidR="000C274E" w:rsidRDefault="009739C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39A9F" w14:textId="77777777" w:rsidR="00B62330" w:rsidRDefault="00B62330">
      <w:pPr>
        <w:spacing w:after="0"/>
      </w:pPr>
      <w:r>
        <w:separator/>
      </w:r>
    </w:p>
  </w:footnote>
  <w:footnote w:type="continuationSeparator" w:id="0">
    <w:p w14:paraId="44EF864E" w14:textId="77777777" w:rsidR="00B62330" w:rsidRDefault="00B62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D71A66"/>
    <w:multiLevelType w:val="hybridMultilevel"/>
    <w:tmpl w:val="51940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545BE"/>
    <w:multiLevelType w:val="hybridMultilevel"/>
    <w:tmpl w:val="BCB2A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E24E0"/>
    <w:multiLevelType w:val="multilevel"/>
    <w:tmpl w:val="828CAFF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70762"/>
    <w:multiLevelType w:val="hybridMultilevel"/>
    <w:tmpl w:val="E830FB5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522"/>
        </w:tabs>
        <w:ind w:left="52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56"/>
        </w:tabs>
        <w:ind w:left="345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5F14637"/>
    <w:multiLevelType w:val="hybridMultilevel"/>
    <w:tmpl w:val="C6AC2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205DA6"/>
    <w:multiLevelType w:val="hybridMultilevel"/>
    <w:tmpl w:val="CA189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264E3"/>
    <w:multiLevelType w:val="hybridMultilevel"/>
    <w:tmpl w:val="1180B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A5F67"/>
    <w:multiLevelType w:val="hybridMultilevel"/>
    <w:tmpl w:val="71D8F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8"/>
  </w:num>
  <w:num w:numId="5">
    <w:abstractNumId w:val="2"/>
  </w:num>
  <w:num w:numId="6">
    <w:abstractNumId w:val="11"/>
  </w:num>
  <w:num w:numId="7">
    <w:abstractNumId w:val="13"/>
  </w:num>
  <w:num w:numId="8">
    <w:abstractNumId w:val="1"/>
  </w:num>
  <w:num w:numId="9">
    <w:abstractNumId w:val="4"/>
  </w:num>
  <w:num w:numId="10">
    <w:abstractNumId w:val="12"/>
  </w:num>
  <w:num w:numId="11">
    <w:abstractNumId w:val="0"/>
  </w:num>
  <w:num w:numId="12">
    <w:abstractNumId w:val="6"/>
  </w:num>
  <w:num w:numId="13">
    <w:abstractNumId w:val="7"/>
  </w:num>
  <w:num w:numId="14">
    <w:abstractNumId w:val="5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DB7"/>
    <w:rsid w:val="00022841"/>
    <w:rsid w:val="00161DB7"/>
    <w:rsid w:val="001838E4"/>
    <w:rsid w:val="002627F4"/>
    <w:rsid w:val="002B298B"/>
    <w:rsid w:val="002C6F5A"/>
    <w:rsid w:val="002F1FDB"/>
    <w:rsid w:val="00386A2F"/>
    <w:rsid w:val="003C56D9"/>
    <w:rsid w:val="003D199B"/>
    <w:rsid w:val="004E47CA"/>
    <w:rsid w:val="005218B4"/>
    <w:rsid w:val="00625587"/>
    <w:rsid w:val="00696D34"/>
    <w:rsid w:val="006D294E"/>
    <w:rsid w:val="00711B6D"/>
    <w:rsid w:val="007520C8"/>
    <w:rsid w:val="00875F25"/>
    <w:rsid w:val="00892301"/>
    <w:rsid w:val="008B2948"/>
    <w:rsid w:val="00971040"/>
    <w:rsid w:val="009739CF"/>
    <w:rsid w:val="009A4763"/>
    <w:rsid w:val="00A479BD"/>
    <w:rsid w:val="00A9402A"/>
    <w:rsid w:val="00AE0431"/>
    <w:rsid w:val="00B62330"/>
    <w:rsid w:val="00B82982"/>
    <w:rsid w:val="00BE0FDB"/>
    <w:rsid w:val="00CD21AC"/>
    <w:rsid w:val="00CE6D74"/>
    <w:rsid w:val="00D87E41"/>
    <w:rsid w:val="00ED4C9B"/>
    <w:rsid w:val="00F071B5"/>
    <w:rsid w:val="00F23D9D"/>
    <w:rsid w:val="00F53ABF"/>
    <w:rsid w:val="00F859CB"/>
    <w:rsid w:val="00FD786D"/>
    <w:rsid w:val="00FF5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9D45EAE"/>
  <w15:chartTrackingRefBased/>
  <w15:docId w15:val="{2B3D2828-6FA0-4733-AB6F-EE02BC7B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DB7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161D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161D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61D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161D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61DB7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B2948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SimSun" w:hAnsi="Arial" w:cs="Arial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161DB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161D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1D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161DB7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161DB7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161DB7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61DB7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61DB7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61DB7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61DB7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61DB7"/>
    <w:rPr>
      <w:rFonts w:ascii="Arial" w:eastAsia="MS Mincho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61DB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rsid w:val="00161DB7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character" w:styleId="PageNumber">
    <w:name w:val="page number"/>
    <w:basedOn w:val="DefaultParagraphFont"/>
    <w:rsid w:val="00161DB7"/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61DB7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61DB7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161DB7"/>
    <w:pPr>
      <w:overflowPunct w:val="0"/>
      <w:autoSpaceDE w:val="0"/>
      <w:autoSpaceDN w:val="0"/>
      <w:adjustRightInd w:val="0"/>
      <w:spacing w:after="120"/>
      <w:jc w:val="center"/>
    </w:pPr>
    <w:rPr>
      <w:rFonts w:ascii="Arial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161DB7"/>
    <w:rPr>
      <w:rFonts w:ascii="Arial" w:eastAsia="MS Mincho" w:hAnsi="Arial" w:cs="Times New Roman"/>
      <w:b/>
      <w:sz w:val="24"/>
      <w:szCs w:val="20"/>
      <w:lang w:val="de-DE"/>
    </w:rPr>
  </w:style>
  <w:style w:type="paragraph" w:styleId="Header">
    <w:name w:val="header"/>
    <w:basedOn w:val="Normal"/>
    <w:link w:val="HeaderChar"/>
    <w:uiPriority w:val="99"/>
    <w:semiHidden/>
    <w:unhideWhenUsed/>
    <w:rsid w:val="00161DB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1DB7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1D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DB7"/>
    <w:rPr>
      <w:rFonts w:ascii="Segoe UI" w:eastAsia="MS Mincho" w:hAnsi="Segoe UI" w:cs="Segoe UI"/>
      <w:sz w:val="18"/>
      <w:szCs w:val="18"/>
      <w:lang w:val="en-GB"/>
    </w:rPr>
  </w:style>
  <w:style w:type="character" w:customStyle="1" w:styleId="NOZchn">
    <w:name w:val="NO Zchn"/>
    <w:basedOn w:val="DefaultParagraphFont"/>
    <w:link w:val="NO"/>
    <w:locked/>
    <w:rsid w:val="005218B4"/>
    <w:rPr>
      <w:lang w:eastAsia="x-none"/>
    </w:rPr>
  </w:style>
  <w:style w:type="paragraph" w:customStyle="1" w:styleId="NO">
    <w:name w:val="NO"/>
    <w:basedOn w:val="Normal"/>
    <w:link w:val="NOZchn"/>
    <w:rsid w:val="005218B4"/>
    <w:pPr>
      <w:ind w:left="1135" w:hanging="851"/>
    </w:pPr>
    <w:rPr>
      <w:rFonts w:asciiTheme="minorHAnsi" w:eastAsiaTheme="minorHAnsi" w:hAnsiTheme="minorHAnsi" w:cstheme="minorBidi"/>
      <w:sz w:val="22"/>
      <w:szCs w:val="22"/>
      <w:lang w:val="en-US" w:eastAsia="x-none"/>
    </w:rPr>
  </w:style>
  <w:style w:type="character" w:customStyle="1" w:styleId="Heading6Char">
    <w:name w:val="Heading 6 Char"/>
    <w:basedOn w:val="DefaultParagraphFont"/>
    <w:link w:val="Heading6"/>
    <w:rsid w:val="008B2948"/>
    <w:rPr>
      <w:rFonts w:ascii="Arial" w:eastAsia="SimSun" w:hAnsi="Arial" w:cs="Arial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F53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4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A9D193E9E224DA223A60BEE8BFE9F" ma:contentTypeVersion="0" ma:contentTypeDescription="Create a new document." ma:contentTypeScope="" ma:versionID="db2d0ee5ed694c4437b7cb08f94f3a4b">
  <xsd:schema xmlns:xsd="http://www.w3.org/2001/XMLSchema" xmlns:xs="http://www.w3.org/2001/XMLSchema" xmlns:p="http://schemas.microsoft.com/office/2006/metadata/properties" xmlns:ns2="932dab1a-f806-440a-b546-5f112cb4e652" targetNamespace="http://schemas.microsoft.com/office/2006/metadata/properties" ma:root="true" ma:fieldsID="e05343403130e6c0ff982f59457b70cc" ns2:_="">
    <xsd:import namespace="932dab1a-f806-440a-b546-5f112cb4e6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dab1a-f806-440a-b546-5f112cb4e6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32dab1a-f806-440a-b546-5f112cb4e652">SRVZ567275SS-924214940-964</_dlc_DocId>
    <_dlc_DocIdUrl xmlns="932dab1a-f806-440a-b546-5f112cb4e652">
      <Url>https://projects.qualcomm.com/sites/libra/_layouts/15/DocIdRedir.aspx?ID=SRVZ567275SS-924214940-964</Url>
      <Description>SRVZ567275SS-924214940-964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86A61EC-50B4-41BD-80A4-80AB1627E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E9D163-B339-40D1-80B8-80AA6D0DF537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932dab1a-f806-440a-b546-5f112cb4e652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512C63F-6467-409E-9F19-EAC0F18CAB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C02419-AD2B-49BD-AC7A-8EDD148D8BA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Co-existence aspects for NR-V2X and LTE-V2X</vt:lpstr>
    </vt:vector>
  </TitlesOfParts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R1-1912949-Co-existence aspects for NR-V2X and LTE-V2X</dc:title>
  <dc:subject/>
  <dc:creator>Viet Nguyen</dc:creator>
  <cp:keywords/>
  <dc:description/>
  <cp:lastModifiedBy>Qualcomm User</cp:lastModifiedBy>
  <cp:revision>9</cp:revision>
  <dcterms:created xsi:type="dcterms:W3CDTF">2019-11-06T15:22:00Z</dcterms:created>
  <dcterms:modified xsi:type="dcterms:W3CDTF">2019-11-08T23:37:00Z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0x010100E23A9D193E9E224DA223A60BEE8BFE9F</vt:lpwstr>
  </property>
  <property fmtid="{D5CDD505-2E9C-101B-9397-08002B2CF9AE}" pid="3" name="_dlc_DocIdItemGuid">
    <vt:lpwstr>d372278a-2a8d-4b14-bbca-2066ee682045</vt:lpwstr>
  </property>
</Properties>
</file>